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3DD" w:rsidRDefault="00FC73DD" w:rsidP="00FC73DD">
      <w:pPr>
        <w:spacing w:line="380" w:lineRule="exact"/>
        <w:rPr>
          <w:rFonts w:ascii="仿宋_GB2312" w:eastAsia="仿宋_GB2312" w:hAnsi="仿宋" w:hint="eastAsia"/>
          <w:color w:val="000000"/>
          <w:sz w:val="24"/>
          <w:szCs w:val="24"/>
        </w:rPr>
      </w:pPr>
      <w:r>
        <w:rPr>
          <w:rFonts w:ascii="黑体" w:eastAsia="黑体" w:hAnsi="黑体" w:cs="黑体" w:hint="eastAsia"/>
          <w:color w:val="000000"/>
          <w:sz w:val="24"/>
          <w:szCs w:val="24"/>
        </w:rPr>
        <w:t>附件：</w:t>
      </w:r>
    </w:p>
    <w:p w:rsidR="00FC73DD" w:rsidRDefault="00FC73DD" w:rsidP="00FC73DD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36"/>
          <w:szCs w:val="36"/>
        </w:rPr>
        <w:t>西安文理学院专业设置评估指标体系与评价标准</w:t>
      </w: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2"/>
        <w:gridCol w:w="992"/>
        <w:gridCol w:w="5098"/>
        <w:gridCol w:w="851"/>
        <w:gridCol w:w="991"/>
        <w:gridCol w:w="11"/>
      </w:tblGrid>
      <w:tr w:rsidR="00FC73DD" w:rsidTr="00573F99">
        <w:trPr>
          <w:gridAfter w:val="1"/>
          <w:wAfter w:w="11" w:type="dxa"/>
          <w:trHeight w:val="360"/>
        </w:trPr>
        <w:tc>
          <w:tcPr>
            <w:tcW w:w="100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一级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指标</w:t>
            </w: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二级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指标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cs="仿宋_GB2312" w:hint="eastAsia"/>
                <w:color w:val="000000"/>
              </w:rPr>
              <w:t>评估标准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评估分值</w:t>
            </w:r>
          </w:p>
        </w:tc>
        <w:tc>
          <w:tcPr>
            <w:tcW w:w="99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宋体" w:cs="仿宋_GB2312" w:hint="eastAsia"/>
                <w:color w:val="000000"/>
              </w:rPr>
              <w:t>备</w:t>
            </w:r>
            <w:r>
              <w:rPr>
                <w:rFonts w:ascii="仿宋_GB2312" w:eastAsia="仿宋_GB2312" w:hAnsi="宋体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注</w:t>
            </w:r>
          </w:p>
        </w:tc>
      </w:tr>
      <w:tr w:rsidR="00FC73DD" w:rsidTr="00573F99">
        <w:trPr>
          <w:gridAfter w:val="1"/>
          <w:wAfter w:w="11" w:type="dxa"/>
        </w:trPr>
        <w:tc>
          <w:tcPr>
            <w:tcW w:w="1002" w:type="dxa"/>
            <w:vMerge w:val="restart"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宋体"/>
                <w:color w:val="000000"/>
              </w:rPr>
            </w:pPr>
            <w:r>
              <w:rPr>
                <w:rFonts w:ascii="仿宋_GB2312" w:eastAsia="仿宋_GB2312" w:hAnsi="宋体" w:cs="仿宋_GB2312"/>
                <w:color w:val="000000"/>
              </w:rPr>
              <w:t>1.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专业布局与专业结构（</w:t>
            </w:r>
            <w:r>
              <w:rPr>
                <w:rFonts w:ascii="仿宋_GB2312" w:eastAsia="仿宋_GB2312" w:hAnsi="宋体" w:cs="仿宋_GB2312"/>
                <w:color w:val="000000"/>
              </w:rPr>
              <w:t>20</w:t>
            </w:r>
            <w:r>
              <w:rPr>
                <w:rFonts w:ascii="仿宋_GB2312" w:eastAsia="仿宋_GB2312" w:hAnsi="宋体" w:cs="仿宋_GB2312" w:hint="eastAsia"/>
                <w:color w:val="000000"/>
              </w:rPr>
              <w:t>分）</w:t>
            </w: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E-BZ+ZGMItW-3" w:cs="仿宋_GB2312"/>
                <w:color w:val="000000"/>
              </w:rPr>
            </w:pPr>
            <w:r>
              <w:rPr>
                <w:rFonts w:ascii="仿宋_GB2312" w:eastAsia="仿宋_GB2312" w:hAnsi="E-BZ+ZGMItW-3" w:cs="仿宋_GB2312"/>
                <w:color w:val="000000"/>
              </w:rPr>
              <w:t>*1</w:t>
            </w:r>
            <w:r>
              <w:rPr>
                <w:rFonts w:ascii="仿宋_GB2312" w:eastAsia="仿宋_GB2312" w:hAnsi="E-BZ+ZGMItW-3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E-BZ+ZGMItW-3" w:cs="仿宋_GB2312"/>
                <w:color w:val="000000"/>
              </w:rPr>
              <w:t>1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专业设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置布局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E-BZ+ZGMItW-3" w:cs="仿宋_GB2312"/>
                <w:color w:val="000000"/>
              </w:rPr>
              <w:t xml:space="preserve">5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◆专业设置是否符合国家或区域重点支持产业发展规划，符合区域产业结构升级需要，对接本省优势产业、支柱产业、特色产业或基础产业。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◆专业设置是否属于国家或区域紧缺专业或新兴专业。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◆专业设置是否具有鲜明的行业属性，有利于区域或行业内高等教育校际专业布局的优化。</w:t>
            </w:r>
          </w:p>
        </w:tc>
        <w:tc>
          <w:tcPr>
            <w:tcW w:w="851" w:type="dxa"/>
          </w:tcPr>
          <w:p w:rsidR="00FC73DD" w:rsidRDefault="00FC73DD" w:rsidP="00573F99">
            <w:pPr>
              <w:spacing w:line="300" w:lineRule="exact"/>
              <w:ind w:rightChars="57" w:right="120"/>
              <w:rPr>
                <w:rFonts w:ascii="仿宋_GB2312" w:eastAsia="仿宋_GB2312"/>
                <w:color w:val="000000"/>
              </w:rPr>
            </w:pPr>
          </w:p>
        </w:tc>
        <w:tc>
          <w:tcPr>
            <w:tcW w:w="991" w:type="dxa"/>
            <w:vMerge w:val="restart"/>
            <w:vAlign w:val="center"/>
          </w:tcPr>
          <w:p w:rsidR="00FC73DD" w:rsidRDefault="00FC73DD" w:rsidP="00573F99">
            <w:pPr>
              <w:spacing w:line="300" w:lineRule="exact"/>
              <w:ind w:rightChars="57" w:right="120"/>
              <w:rPr>
                <w:rFonts w:ascii="仿宋_GB2312" w:eastAsia="仿宋_GB2312" w:hAnsi="HTJ0+ZGMItW-2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近年来报考率和就业率低的专业，教育部门明令限制招生专业设为否决条件</w:t>
            </w:r>
            <w:r>
              <w:rPr>
                <w:rFonts w:ascii="仿宋_GB2312" w:eastAsia="仿宋_GB2312" w:hAnsi="HTJ0+ZGMItW-2" w:cs="仿宋_GB2312" w:hint="eastAsia"/>
                <w:color w:val="000000"/>
              </w:rPr>
              <w:t>。</w:t>
            </w:r>
          </w:p>
          <w:p w:rsidR="00FC73DD" w:rsidRDefault="00FC73DD" w:rsidP="00573F99">
            <w:pPr>
              <w:spacing w:line="300" w:lineRule="exact"/>
              <w:ind w:rightChars="57" w:right="1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国家或区域布点过度的专业设为否决条件。</w:t>
            </w:r>
          </w:p>
        </w:tc>
      </w:tr>
      <w:tr w:rsidR="00FC73DD" w:rsidTr="00573F99">
        <w:trPr>
          <w:gridAfter w:val="1"/>
          <w:wAfter w:w="11" w:type="dxa"/>
          <w:trHeight w:val="2976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E-BZ+ZGMItW-3" w:cs="仿宋_GB2312"/>
                <w:color w:val="000000"/>
              </w:rPr>
            </w:pPr>
            <w:r>
              <w:rPr>
                <w:rFonts w:ascii="仿宋_GB2312" w:eastAsia="仿宋_GB2312" w:hAnsi="E-BZ+ZGMItW-3" w:cs="仿宋_GB2312"/>
                <w:color w:val="000000"/>
              </w:rPr>
              <w:t>1</w:t>
            </w:r>
            <w:r>
              <w:rPr>
                <w:rFonts w:ascii="仿宋_GB2312" w:eastAsia="仿宋_GB2312" w:hAnsi="E-BZ+ZGMItW-3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E-BZ+ZGMItW-3" w:cs="仿宋_GB2312"/>
                <w:color w:val="000000"/>
              </w:rPr>
              <w:t>2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专业办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学定位与思路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E-BZ+ZGMItW-3" w:cs="仿宋_GB2312"/>
                <w:color w:val="000000"/>
              </w:rPr>
              <w:t xml:space="preserve">5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◆专业设置是否符合学校的专业布局战略，持续性发展。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◆专业设置是否符合学校教育资源优化配置的原则，有利于不断优化专业结构和布局，有利于优势专业群形成并推动学科发展。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◆专业设置是否有利于推动学校专业建设，有利于本校办学实力的增强，有利于专业和人才培养特色生成。</w:t>
            </w:r>
          </w:p>
        </w:tc>
        <w:tc>
          <w:tcPr>
            <w:tcW w:w="851" w:type="dxa"/>
          </w:tcPr>
          <w:p w:rsidR="00FC73DD" w:rsidRDefault="00FC73DD" w:rsidP="00573F99">
            <w:pPr>
              <w:spacing w:line="300" w:lineRule="exact"/>
              <w:ind w:rightChars="57" w:right="120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1" w:type="dxa"/>
            <w:vMerge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FC73DD" w:rsidTr="00573F99">
        <w:trPr>
          <w:gridAfter w:val="1"/>
          <w:wAfter w:w="11" w:type="dxa"/>
          <w:trHeight w:val="2900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E-BZ+ZGMItW-3"/>
                <w:color w:val="000000"/>
              </w:rPr>
            </w:pPr>
            <w:r>
              <w:rPr>
                <w:rFonts w:ascii="仿宋_GB2312" w:eastAsia="仿宋_GB2312" w:hAnsi="E-BZ+ZGMItW-3" w:cs="仿宋_GB2312"/>
                <w:color w:val="000000"/>
              </w:rPr>
              <w:t>1</w:t>
            </w:r>
            <w:r>
              <w:rPr>
                <w:rFonts w:ascii="仿宋_GB2312" w:eastAsia="仿宋_GB2312" w:hAnsi="E-BZ+ZGMItW-3" w:cs="仿宋_GB2312" w:hint="eastAsia"/>
                <w:color w:val="000000"/>
              </w:rPr>
              <w:t>—</w:t>
            </w:r>
            <w:r>
              <w:rPr>
                <w:rFonts w:ascii="仿宋_GB2312" w:eastAsia="仿宋_GB2312" w:hAnsi="E-BZ+ZGMItW-3" w:cs="仿宋_GB2312"/>
                <w:color w:val="000000"/>
              </w:rPr>
              <w:t xml:space="preserve">3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相关专业办学经验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E-BZ+ZGMItW-3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(</w:t>
            </w:r>
            <w:r>
              <w:rPr>
                <w:rFonts w:ascii="仿宋_GB2312" w:eastAsia="仿宋_GB2312" w:hAnsi="E-BZ+ZGMItW-3" w:cs="仿宋_GB2312"/>
                <w:color w:val="000000"/>
              </w:rPr>
              <w:t>10</w:t>
            </w:r>
            <w:r>
              <w:rPr>
                <w:rFonts w:ascii="仿宋_GB2312" w:eastAsia="仿宋_GB2312" w:hAnsi="E-BZ+ZGMItW-3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◆有相关中、省级专业综合改革试点、特色专业、校级重点建设专业为依托。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◆相关专业办学历史长，办学经验丰富，形成了特有的专业人才培养机制，有较大社会影响。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◆相关专业提供了专业师资积累，实验实习实训、校企合作等条件积累。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◆无相关专业办学经验，但属于市场急需新兴专业。学校积极筹备，具备了基本教学条件并具有可行的建设措施与方案，</w:t>
            </w:r>
            <w:proofErr w:type="gramStart"/>
            <w:r>
              <w:rPr>
                <w:rFonts w:ascii="仿宋_GB2312" w:eastAsia="仿宋_GB2312" w:hAnsi="方正书宋_GBK" w:cs="仿宋_GB2312" w:hint="eastAsia"/>
                <w:color w:val="000000"/>
              </w:rPr>
              <w:t>具备边</w:t>
            </w:r>
            <w:proofErr w:type="gramEnd"/>
            <w:r>
              <w:rPr>
                <w:rFonts w:ascii="仿宋_GB2312" w:eastAsia="仿宋_GB2312" w:hAnsi="方正书宋_GBK" w:cs="仿宋_GB2312" w:hint="eastAsia"/>
                <w:color w:val="000000"/>
              </w:rPr>
              <w:t>开设专业边建设的条件。</w:t>
            </w:r>
          </w:p>
        </w:tc>
        <w:tc>
          <w:tcPr>
            <w:tcW w:w="851" w:type="dxa"/>
          </w:tcPr>
          <w:p w:rsidR="00FC73DD" w:rsidRDefault="00FC73DD" w:rsidP="00573F99">
            <w:pPr>
              <w:spacing w:line="300" w:lineRule="exact"/>
              <w:ind w:rightChars="57" w:right="120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1" w:type="dxa"/>
            <w:vMerge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/>
                <w:color w:val="000000"/>
              </w:rPr>
            </w:pPr>
          </w:p>
        </w:tc>
      </w:tr>
      <w:tr w:rsidR="00FC73DD" w:rsidTr="00573F99">
        <w:trPr>
          <w:trHeight w:val="1942"/>
        </w:trPr>
        <w:tc>
          <w:tcPr>
            <w:tcW w:w="1002" w:type="dxa"/>
            <w:vMerge w:val="restart"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．专业设置硬件条件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(20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1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校内实践教学条件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( 10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◆与专业核心课程配套的校内实践基地完备，设备先进，功能明确，具有真实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仿真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)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的环境和产学研一体化的功能。能够满足学生专业能力提升需要。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◆具备多样化的教学环境场所与软硬件配套设备，满足理论融合实践的多种专业课程教学方式。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2117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校外实践基地校企合作条件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( 10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◆拥有稳定的校外实践基地，能为学生提供真实工作环境，有助于学生了解企业与产业实际。企业实践指导人员数量、素质能够满足学生实践要求。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◆具有行业（企业）积极参与的专业校企合作基础，形成相关机制，实践性和开放性的产教融合趋势明显。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363"/>
        </w:trPr>
        <w:tc>
          <w:tcPr>
            <w:tcW w:w="1002" w:type="dxa"/>
            <w:vMerge w:val="restart"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lastRenderedPageBreak/>
              <w:t>3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．师资队伍条件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( 20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* 3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1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专业教师团队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(12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◆专业教育所需要的专业基础课和专业核心课教师能够满足教学需要。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◆具备六人（含）以上的专任教师队伍为该专业全职开课，专任专业教师均为硕士及以上学历，专任专业教师中，高级职称比例≥</w:t>
            </w:r>
            <w:r>
              <w:rPr>
                <w:rFonts w:ascii="仿宋_GB2312" w:eastAsia="仿宋_GB2312" w:hAnsi="方正书宋_GBK" w:cs="仿宋_GB2312"/>
                <w:color w:val="000000"/>
              </w:rPr>
              <w:t>30%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，</w:t>
            </w:r>
            <w:r>
              <w:rPr>
                <w:rFonts w:ascii="仿宋_GB2312" w:eastAsia="仿宋_GB2312" w:hAnsi="方正书宋_GBK" w:cs="仿宋_GB2312"/>
                <w:color w:val="000000"/>
              </w:rPr>
              <w:t>"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双师型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"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教师比例≥</w:t>
            </w:r>
            <w:r>
              <w:rPr>
                <w:rFonts w:ascii="仿宋_GB2312" w:eastAsia="仿宋_GB2312" w:hAnsi="方正书宋_GBK" w:cs="仿宋_GB2312"/>
                <w:color w:val="000000"/>
              </w:rPr>
              <w:t>30%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专业教师团队整体评价不能满足专业教学需要，作为否决条件</w:t>
            </w:r>
          </w:p>
        </w:tc>
      </w:tr>
      <w:tr w:rsidR="00FC73DD" w:rsidTr="00573F99">
        <w:trPr>
          <w:trHeight w:val="2019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3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专业带头人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( 8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◆专业带头人具有高级职称，具有较高教学科研水平，师德高尚、治学严谨，为人师表，教学效果好。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◆与行业（企业）联系密切，参与校企合作或相关专业技术服务项目，成效明显。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◆参与和承担教育研究或教学改革项目，成果显著。教学科研成果在同类院校或相关行业有一定影响。承担一门以上专业核心课程教学。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2689"/>
        </w:trPr>
        <w:tc>
          <w:tcPr>
            <w:tcW w:w="1002" w:type="dxa"/>
            <w:vMerge w:val="restart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4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．专业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人才</w:t>
            </w:r>
            <w:proofErr w:type="gramStart"/>
            <w:r>
              <w:rPr>
                <w:rFonts w:ascii="仿宋_GB2312" w:eastAsia="仿宋_GB2312" w:hAnsi="方正书宋_GBK" w:cs="仿宋_GB2312" w:hint="eastAsia"/>
                <w:color w:val="000000"/>
              </w:rPr>
              <w:t>培</w:t>
            </w:r>
            <w:proofErr w:type="gramEnd"/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养方案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( 20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4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1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人才培养目标与规格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( 6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◆人才培养目标是否以教育部</w:t>
            </w:r>
            <w:r>
              <w:rPr>
                <w:rFonts w:ascii="仿宋_GB2312" w:eastAsia="仿宋_GB2312" w:hAnsi="方正书宋_GBK" w:cs="仿宋_GB2312"/>
                <w:color w:val="000000"/>
              </w:rPr>
              <w:t>2012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年本科专业目录与介绍为依据，与学校办学及人才</w:t>
            </w:r>
            <w:proofErr w:type="gramStart"/>
            <w:r>
              <w:rPr>
                <w:rFonts w:ascii="仿宋_GB2312" w:eastAsia="仿宋_GB2312" w:hAnsi="方正书宋_GBK" w:cs="仿宋_GB2312" w:hint="eastAsia"/>
                <w:color w:val="000000"/>
              </w:rPr>
              <w:t>培养总</w:t>
            </w:r>
            <w:proofErr w:type="gramEnd"/>
            <w:r>
              <w:rPr>
                <w:rFonts w:ascii="仿宋_GB2312" w:eastAsia="仿宋_GB2312" w:hAnsi="方正书宋_GBK" w:cs="仿宋_GB2312" w:hint="eastAsia"/>
                <w:color w:val="000000"/>
              </w:rPr>
              <w:t>目标相呼应，体现出了明确的专业方向和人才培养特色，能够立足行业或产业，服务地方经济社会。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人才培养规格是否面向区域经济和行业需要，以人才培养目标为核心，构建基于知识、能力与素质协调发展的人才培养基本规格，从知识结构、能力结构和素质结构三个方面设计人才培养规格的具体内容和要求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363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4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课程体系与课程建设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( 8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根据教育部公布的本科专业类教学质量国家标准，结合学校办学定位和培养目标，开设经济社会发展需求、学生职业发展需要的课程，构建“行业规范与质量标准相整合、实践教育与行业协同相结合、创新创业教育与专业教育相融合”的专业课程体系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◆是否聘请行业（企业）专家或生产一线的技术人员参与课程建设，整合优化相关的专业基础课、专业核心课和专业方向课，减少课程设置与教学内容重复交叉和碎片化现象。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◆是否建立以技术技能为主线的实践教学课程体系，统筹安排实践环节，做到实践类课程四年不断线。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◆是否加强创新创业课程体系建设，广泛开展创新创业实践活动，将创新创业教育融入人才培养全过程。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2030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4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3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人才培养模式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( 6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◆是否积极推行订单培养，探索校企合作、任务驱动、项目导向、顶岗实习等工学结合的人才培养模式改革。与行业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企业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)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共同制订专业人才培养方案，实现专业与行业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企业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)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岗位对接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;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实现专业课程内容与职业标准对接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;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引入行业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企业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新技术、新工艺，校企合作共同开发专业课程和教学资源。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3290"/>
        </w:trPr>
        <w:tc>
          <w:tcPr>
            <w:tcW w:w="1002" w:type="dxa"/>
            <w:vMerge w:val="restart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lastRenderedPageBreak/>
              <w:t>5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．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 w:hint="eastAsia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专业人才需求调研</w:t>
            </w:r>
          </w:p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论证</w:t>
            </w:r>
          </w:p>
          <w:p w:rsidR="00FC73DD" w:rsidRDefault="00FC73DD" w:rsidP="00573F99">
            <w:pPr>
              <w:spacing w:line="300" w:lineRule="exact"/>
              <w:ind w:rightChars="-25" w:right="-53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( 20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5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1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人才需求调研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(10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◆人才需求调研论证过程中，是否深入调查研究了地方经济发展现状及趋势，行业、产业发展现状及趋势。是否深入调查研究了行业、产业现有的人才结构现状，对高技能人才需求情况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;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区域人才需求状况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;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新兴产业或新兴科学技术对特定专业人才在知识、能力、素质等多方面规格要求。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◆有对该专业毕业生就业前景分析，就业岗位分析，薪资水平分析。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  <w:spacing w:val="-24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◆人才社会需求调研中进行了考生需求，考生与家长报考意愿分析。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  <w:tr w:rsidR="00FC73DD" w:rsidTr="00573F99">
        <w:trPr>
          <w:trHeight w:val="3283"/>
        </w:trPr>
        <w:tc>
          <w:tcPr>
            <w:tcW w:w="1002" w:type="dxa"/>
            <w:vMerge/>
            <w:vAlign w:val="center"/>
          </w:tcPr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>5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－</w:t>
            </w:r>
            <w:r>
              <w:rPr>
                <w:rFonts w:ascii="仿宋_GB2312" w:eastAsia="仿宋_GB2312" w:hAnsi="方正书宋_GBK" w:cs="仿宋_GB2312"/>
                <w:color w:val="000000"/>
              </w:rPr>
              <w:t>2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专业需求论证</w:t>
            </w:r>
          </w:p>
          <w:p w:rsidR="00FC73DD" w:rsidRDefault="00FC73DD" w:rsidP="00573F99">
            <w:pPr>
              <w:spacing w:line="300" w:lineRule="exact"/>
              <w:rPr>
                <w:rFonts w:ascii="仿宋_GB2312" w:eastAsia="仿宋_GB2312" w:hAnsi="方正书宋_GBK" w:cs="仿宋_GB2312"/>
                <w:color w:val="000000"/>
              </w:rPr>
            </w:pPr>
            <w:r>
              <w:rPr>
                <w:rFonts w:ascii="仿宋_GB2312" w:eastAsia="仿宋_GB2312" w:hAnsi="方正书宋_GBK" w:cs="仿宋_GB2312"/>
                <w:color w:val="000000"/>
              </w:rPr>
              <w:t xml:space="preserve">(10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分</w:t>
            </w:r>
            <w:r>
              <w:rPr>
                <w:rFonts w:ascii="仿宋_GB2312" w:eastAsia="仿宋_GB2312" w:hAnsi="方正书宋_GBK" w:cs="仿宋_GB2312"/>
                <w:color w:val="000000"/>
              </w:rPr>
              <w:t>)</w:t>
            </w:r>
          </w:p>
        </w:tc>
        <w:tc>
          <w:tcPr>
            <w:tcW w:w="5098" w:type="dxa"/>
            <w:vAlign w:val="center"/>
          </w:tcPr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◆专业社会需求论证、市场调研是否充分、调研资料数据是否翔实、调研态度与结论是否客观，调查与论证方式是否科学。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◆是否组织专业教师与行业企业的专家共同开展市场调研，对专业所对应行业企业发展的社会背景、行业背景、人才需求现状、企业技术及装备现状、行业企业人才需求等进行研究分析。</w:t>
            </w:r>
          </w:p>
          <w:p w:rsidR="00FC73DD" w:rsidRDefault="00FC73DD" w:rsidP="00573F99">
            <w:pPr>
              <w:adjustRightInd w:val="0"/>
              <w:snapToGrid w:val="0"/>
              <w:spacing w:line="300" w:lineRule="exact"/>
              <w:ind w:firstLineChars="200" w:firstLine="420"/>
              <w:rPr>
                <w:rFonts w:ascii="仿宋_GB2312" w:eastAsia="仿宋_GB2312" w:hAnsi="方正书宋_GBK"/>
                <w:color w:val="000000"/>
              </w:rPr>
            </w:pPr>
            <w:r>
              <w:rPr>
                <w:rFonts w:ascii="仿宋_GB2312" w:eastAsia="仿宋_GB2312" w:hAnsi="方正书宋_GBK" w:cs="仿宋_GB2312" w:hint="eastAsia"/>
                <w:color w:val="000000"/>
              </w:rPr>
              <w:t>◆是否准确把握与专业相关的技术领域发展现状和变化趋势，准确把握专业所对应的职业岗位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(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群</w:t>
            </w:r>
            <w:r>
              <w:rPr>
                <w:rFonts w:ascii="仿宋_GB2312" w:eastAsia="仿宋_GB2312" w:hAnsi="方正书宋_GBK" w:cs="仿宋_GB2312"/>
                <w:color w:val="000000"/>
              </w:rPr>
              <w:t xml:space="preserve">) </w:t>
            </w:r>
            <w:r>
              <w:rPr>
                <w:rFonts w:ascii="仿宋_GB2312" w:eastAsia="仿宋_GB2312" w:hAnsi="方正书宋_GBK" w:cs="仿宋_GB2312" w:hint="eastAsia"/>
                <w:color w:val="000000"/>
              </w:rPr>
              <w:t>对知识、能力、素质等要求。</w:t>
            </w:r>
          </w:p>
        </w:tc>
        <w:tc>
          <w:tcPr>
            <w:tcW w:w="851" w:type="dxa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  <w:tc>
          <w:tcPr>
            <w:tcW w:w="1002" w:type="dxa"/>
            <w:gridSpan w:val="2"/>
            <w:vAlign w:val="center"/>
          </w:tcPr>
          <w:p w:rsidR="00FC73DD" w:rsidRDefault="00FC73DD" w:rsidP="00573F99">
            <w:pPr>
              <w:spacing w:line="300" w:lineRule="exact"/>
              <w:jc w:val="center"/>
              <w:rPr>
                <w:rFonts w:ascii="仿宋_GB2312" w:eastAsia="仿宋_GB2312" w:hAnsi="宋体"/>
                <w:color w:val="000000"/>
              </w:rPr>
            </w:pPr>
          </w:p>
        </w:tc>
      </w:tr>
    </w:tbl>
    <w:p w:rsidR="002E2778" w:rsidRPr="00FC73DD" w:rsidRDefault="002E2778"/>
    <w:sectPr w:rsidR="002E2778" w:rsidRPr="00FC73DD" w:rsidSect="002E2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E-BZ+ZGMItW-3">
    <w:altName w:val="宋体"/>
    <w:charset w:val="86"/>
    <w:family w:val="auto"/>
    <w:pitch w:val="default"/>
    <w:sig w:usb0="00000000" w:usb1="00000000" w:usb2="00000010" w:usb3="00000000" w:csb0="00040000" w:csb1="00000000"/>
  </w:font>
  <w:font w:name="方正书宋_GBK">
    <w:charset w:val="86"/>
    <w:family w:val="auto"/>
    <w:pitch w:val="default"/>
    <w:sig w:usb0="00000001" w:usb1="080E0000" w:usb2="00000000" w:usb3="00000000" w:csb0="00040000" w:csb1="00000000"/>
  </w:font>
  <w:font w:name="HTJ0+ZGMItW-2">
    <w:altName w:val="宋体"/>
    <w:charset w:val="86"/>
    <w:family w:val="auto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C73DD"/>
    <w:rsid w:val="002E2778"/>
    <w:rsid w:val="00FC73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3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362</Words>
  <Characters>2067</Characters>
  <Application>Microsoft Office Word</Application>
  <DocSecurity>0</DocSecurity>
  <Lines>17</Lines>
  <Paragraphs>4</Paragraphs>
  <ScaleCrop>false</ScaleCrop>
  <Company/>
  <LinksUpToDate>false</LinksUpToDate>
  <CharactersWithSpaces>2425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1</cp:revision>
  <dcterms:created xsi:type="dcterms:W3CDTF">2017-10-14T02:09:00Z</dcterms:created>
  <dcterms:modified xsi:type="dcterms:W3CDTF">2017-10-14T02:09:00Z</dcterms:modified>
</cp:coreProperties>
</file>